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C1" w:rsidRPr="00EA73C1" w:rsidRDefault="00EA73C1" w:rsidP="00EA73C1">
      <w:pPr>
        <w:rPr>
          <w:rFonts w:ascii="Calibri" w:hAnsi="Calibri"/>
          <w:sz w:val="22"/>
        </w:rPr>
      </w:pPr>
      <w:r w:rsidRPr="00EA73C1">
        <w:rPr>
          <w:rFonts w:ascii="Calibri" w:hAnsi="Calibri"/>
          <w:sz w:val="22"/>
        </w:rPr>
        <w:t>Becky Clay</w:t>
      </w:r>
    </w:p>
    <w:p w:rsidR="00EA73C1" w:rsidRPr="00EA73C1" w:rsidRDefault="00EA73C1" w:rsidP="00EA73C1">
      <w:pPr>
        <w:rPr>
          <w:rFonts w:ascii="Calibri" w:hAnsi="Calibri"/>
          <w:sz w:val="22"/>
        </w:rPr>
      </w:pPr>
      <w:r w:rsidRPr="00EA73C1">
        <w:rPr>
          <w:rFonts w:ascii="Calibri" w:hAnsi="Calibri"/>
          <w:sz w:val="22"/>
        </w:rPr>
        <w:t xml:space="preserve">Dr. Marcello </w:t>
      </w:r>
      <w:proofErr w:type="spellStart"/>
      <w:r w:rsidRPr="00EA73C1">
        <w:rPr>
          <w:rFonts w:ascii="Calibri" w:hAnsi="Calibri"/>
          <w:sz w:val="22"/>
        </w:rPr>
        <w:t>Fiocco</w:t>
      </w:r>
      <w:proofErr w:type="spellEnd"/>
    </w:p>
    <w:p w:rsidR="00EA73C1" w:rsidRPr="00EA73C1" w:rsidRDefault="00EA73C1" w:rsidP="00EA73C1">
      <w:pPr>
        <w:rPr>
          <w:rFonts w:ascii="Calibri" w:hAnsi="Calibri"/>
          <w:sz w:val="22"/>
        </w:rPr>
      </w:pPr>
      <w:r w:rsidRPr="00EA73C1">
        <w:rPr>
          <w:rFonts w:ascii="Calibri" w:hAnsi="Calibri"/>
          <w:sz w:val="22"/>
        </w:rPr>
        <w:t>4-21-11</w:t>
      </w:r>
    </w:p>
    <w:p w:rsidR="00EA73C1" w:rsidRPr="00EA73C1" w:rsidRDefault="00EA73C1" w:rsidP="00EA73C1">
      <w:pPr>
        <w:rPr>
          <w:rFonts w:ascii="Calibri" w:hAnsi="Calibri"/>
          <w:sz w:val="22"/>
        </w:rPr>
      </w:pPr>
      <w:r w:rsidRPr="00EA73C1">
        <w:rPr>
          <w:rFonts w:ascii="Calibri" w:hAnsi="Calibri"/>
          <w:sz w:val="22"/>
        </w:rPr>
        <w:t>Phil 145</w:t>
      </w:r>
    </w:p>
    <w:p w:rsidR="00EA73C1" w:rsidRDefault="006B72D5" w:rsidP="00C17447">
      <w:pPr>
        <w:spacing w:line="480" w:lineRule="auto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De </w:t>
      </w:r>
      <w:proofErr w:type="spellStart"/>
      <w:r w:rsidR="00DC5730">
        <w:rPr>
          <w:rFonts w:ascii="Calibri" w:hAnsi="Calibri"/>
          <w:sz w:val="22"/>
        </w:rPr>
        <w:t>Dicto</w:t>
      </w:r>
      <w:proofErr w:type="spellEnd"/>
      <w:r w:rsidR="00DC5730">
        <w:rPr>
          <w:rFonts w:ascii="Calibri" w:hAnsi="Calibri"/>
          <w:sz w:val="22"/>
        </w:rPr>
        <w:t>, De Re</w:t>
      </w:r>
      <w:r>
        <w:rPr>
          <w:rFonts w:ascii="Calibri" w:hAnsi="Calibri"/>
          <w:sz w:val="22"/>
        </w:rPr>
        <w:t xml:space="preserve"> and </w:t>
      </w:r>
      <w:proofErr w:type="spellStart"/>
      <w:r>
        <w:rPr>
          <w:rFonts w:ascii="Calibri" w:hAnsi="Calibri"/>
          <w:sz w:val="22"/>
        </w:rPr>
        <w:t>Frege’s</w:t>
      </w:r>
      <w:proofErr w:type="spellEnd"/>
      <w:r>
        <w:rPr>
          <w:rFonts w:ascii="Calibri" w:hAnsi="Calibri"/>
          <w:sz w:val="22"/>
        </w:rPr>
        <w:t xml:space="preserve"> Account of</w:t>
      </w:r>
      <w:r w:rsidR="00EA73C1">
        <w:rPr>
          <w:rFonts w:ascii="Calibri" w:hAnsi="Calibri"/>
          <w:sz w:val="22"/>
        </w:rPr>
        <w:t xml:space="preserve"> Intentionality</w:t>
      </w:r>
    </w:p>
    <w:p w:rsidR="00EA73C1" w:rsidRPr="00DC5730" w:rsidRDefault="00EA73C1" w:rsidP="00C17447">
      <w:pPr>
        <w:spacing w:line="480" w:lineRule="auto"/>
        <w:rPr>
          <w:rFonts w:ascii="Calibri" w:hAnsi="Calibri"/>
          <w:sz w:val="22"/>
        </w:rPr>
      </w:pPr>
      <w:r w:rsidRPr="00D31DAE">
        <w:rPr>
          <w:rFonts w:ascii="Calibri" w:hAnsi="Calibri"/>
          <w:color w:val="FF0000"/>
          <w:sz w:val="22"/>
        </w:rPr>
        <w:tab/>
      </w:r>
      <w:proofErr w:type="spellStart"/>
      <w:r w:rsidR="00F870FB" w:rsidRPr="00DC5730">
        <w:rPr>
          <w:rFonts w:ascii="Calibri" w:hAnsi="Calibri"/>
          <w:sz w:val="22"/>
        </w:rPr>
        <w:t>Frege’s</w:t>
      </w:r>
      <w:proofErr w:type="spellEnd"/>
      <w:r w:rsidR="00F870FB" w:rsidRPr="00DC5730">
        <w:rPr>
          <w:rFonts w:ascii="Calibri" w:hAnsi="Calibri"/>
          <w:sz w:val="22"/>
        </w:rPr>
        <w:t xml:space="preserve"> account of intentionality is an example of purely conceptual, de </w:t>
      </w:r>
      <w:proofErr w:type="spellStart"/>
      <w:r w:rsidR="00F870FB" w:rsidRPr="00DC5730">
        <w:rPr>
          <w:rFonts w:ascii="Calibri" w:hAnsi="Calibri"/>
          <w:sz w:val="22"/>
        </w:rPr>
        <w:t>dicto</w:t>
      </w:r>
      <w:proofErr w:type="spellEnd"/>
      <w:r w:rsidR="00F870FB" w:rsidRPr="00DC5730">
        <w:rPr>
          <w:rFonts w:ascii="Calibri" w:hAnsi="Calibri"/>
          <w:sz w:val="22"/>
        </w:rPr>
        <w:t xml:space="preserve"> belief</w:t>
      </w:r>
      <w:r w:rsidRPr="00DC5730">
        <w:rPr>
          <w:rFonts w:ascii="Calibri" w:hAnsi="Calibri"/>
          <w:sz w:val="22"/>
        </w:rPr>
        <w:t>.</w:t>
      </w:r>
      <w:r w:rsidR="00F870FB" w:rsidRPr="00DC5730">
        <w:rPr>
          <w:rFonts w:ascii="Calibri" w:hAnsi="Calibri"/>
          <w:sz w:val="22"/>
        </w:rPr>
        <w:t xml:space="preserve"> Contrary to a de </w:t>
      </w:r>
      <w:proofErr w:type="spellStart"/>
      <w:r w:rsidR="00F870FB" w:rsidRPr="00DC5730">
        <w:rPr>
          <w:rFonts w:ascii="Calibri" w:hAnsi="Calibri"/>
          <w:sz w:val="22"/>
        </w:rPr>
        <w:t>dicto</w:t>
      </w:r>
      <w:proofErr w:type="spellEnd"/>
      <w:r w:rsidR="00F870FB" w:rsidRPr="00DC5730">
        <w:rPr>
          <w:rFonts w:ascii="Calibri" w:hAnsi="Calibri"/>
          <w:sz w:val="22"/>
        </w:rPr>
        <w:t xml:space="preserve"> belief is a de re belief, one that is not purely conceptual, but rather, </w:t>
      </w:r>
      <w:proofErr w:type="gramStart"/>
      <w:r w:rsidR="00F870FB" w:rsidRPr="00DC5730">
        <w:rPr>
          <w:rFonts w:ascii="Calibri" w:hAnsi="Calibri"/>
          <w:sz w:val="22"/>
        </w:rPr>
        <w:t>part</w:t>
      </w:r>
      <w:proofErr w:type="gramEnd"/>
      <w:r w:rsidR="00F870FB" w:rsidRPr="00DC5730">
        <w:rPr>
          <w:rFonts w:ascii="Calibri" w:hAnsi="Calibri"/>
          <w:sz w:val="22"/>
        </w:rPr>
        <w:t xml:space="preserve"> conceptual and part contextual. This notion of de re belief is one </w:t>
      </w:r>
      <w:r w:rsidR="00DC5730" w:rsidRPr="00DC5730">
        <w:rPr>
          <w:rFonts w:ascii="Calibri" w:hAnsi="Calibri"/>
          <w:sz w:val="22"/>
        </w:rPr>
        <w:t>held by</w:t>
      </w:r>
      <w:r w:rsidR="00F870FB" w:rsidRPr="00DC5730">
        <w:rPr>
          <w:rFonts w:ascii="Calibri" w:hAnsi="Calibri"/>
          <w:sz w:val="22"/>
        </w:rPr>
        <w:t xml:space="preserve"> Keith </w:t>
      </w:r>
      <w:proofErr w:type="spellStart"/>
      <w:r w:rsidR="00F870FB" w:rsidRPr="00DC5730">
        <w:rPr>
          <w:rFonts w:ascii="Calibri" w:hAnsi="Calibri"/>
          <w:sz w:val="22"/>
        </w:rPr>
        <w:t>Donnelan</w:t>
      </w:r>
      <w:proofErr w:type="spellEnd"/>
      <w:r w:rsidR="00F870FB" w:rsidRPr="00DC5730">
        <w:rPr>
          <w:rFonts w:ascii="Calibri" w:hAnsi="Calibri"/>
          <w:sz w:val="22"/>
        </w:rPr>
        <w:t xml:space="preserve">, Tyler Burge and John McDowell, </w:t>
      </w:r>
      <w:r w:rsidR="00DC5730" w:rsidRPr="00DC5730">
        <w:rPr>
          <w:rFonts w:ascii="Calibri" w:hAnsi="Calibri"/>
          <w:sz w:val="22"/>
        </w:rPr>
        <w:t>whom have each</w:t>
      </w:r>
      <w:r w:rsidR="00F870FB" w:rsidRPr="00DC5730">
        <w:rPr>
          <w:rFonts w:ascii="Calibri" w:hAnsi="Calibri"/>
          <w:sz w:val="22"/>
        </w:rPr>
        <w:t xml:space="preserve"> </w:t>
      </w:r>
      <w:r w:rsidR="00DC5730" w:rsidRPr="00DC5730">
        <w:rPr>
          <w:rFonts w:ascii="Calibri" w:hAnsi="Calibri"/>
          <w:sz w:val="22"/>
        </w:rPr>
        <w:t>presented</w:t>
      </w:r>
      <w:r w:rsidR="00F870FB" w:rsidRPr="00DC5730">
        <w:rPr>
          <w:rFonts w:ascii="Calibri" w:hAnsi="Calibri"/>
          <w:sz w:val="22"/>
        </w:rPr>
        <w:t xml:space="preserve"> their own</w:t>
      </w:r>
      <w:r w:rsidR="00DC5730" w:rsidRPr="00DC5730">
        <w:rPr>
          <w:rFonts w:ascii="Calibri" w:hAnsi="Calibri"/>
          <w:sz w:val="22"/>
        </w:rPr>
        <w:t xml:space="preserve"> accounts of how intentionality. </w:t>
      </w:r>
      <w:r w:rsidR="00F870FB" w:rsidRPr="00DC5730">
        <w:rPr>
          <w:rFonts w:ascii="Calibri" w:hAnsi="Calibri"/>
          <w:sz w:val="22"/>
        </w:rPr>
        <w:t>In the end, McDowell presents</w:t>
      </w:r>
      <w:r w:rsidR="00DC5730" w:rsidRPr="00DC5730">
        <w:rPr>
          <w:rFonts w:ascii="Calibri" w:hAnsi="Calibri"/>
          <w:sz w:val="22"/>
        </w:rPr>
        <w:t xml:space="preserve"> a </w:t>
      </w:r>
      <w:r w:rsidR="00F870FB" w:rsidRPr="00DC5730">
        <w:rPr>
          <w:rFonts w:ascii="Calibri" w:hAnsi="Calibri"/>
          <w:sz w:val="22"/>
        </w:rPr>
        <w:t xml:space="preserve"> farfetched </w:t>
      </w:r>
      <w:r w:rsidR="00DC5730" w:rsidRPr="00DC5730">
        <w:rPr>
          <w:rFonts w:ascii="Calibri" w:hAnsi="Calibri"/>
          <w:sz w:val="22"/>
        </w:rPr>
        <w:t xml:space="preserve">idea of a de re sense while claiming to stick to </w:t>
      </w:r>
      <w:proofErr w:type="spellStart"/>
      <w:r w:rsidR="00DC5730" w:rsidRPr="00DC5730">
        <w:rPr>
          <w:rFonts w:ascii="Calibri" w:hAnsi="Calibri"/>
          <w:sz w:val="22"/>
        </w:rPr>
        <w:t>Frege’s</w:t>
      </w:r>
      <w:proofErr w:type="spellEnd"/>
      <w:r w:rsidR="00DC5730" w:rsidRPr="00DC5730">
        <w:rPr>
          <w:rFonts w:ascii="Calibri" w:hAnsi="Calibri"/>
          <w:sz w:val="22"/>
        </w:rPr>
        <w:t xml:space="preserve"> de </w:t>
      </w:r>
      <w:proofErr w:type="spellStart"/>
      <w:r w:rsidR="00DC5730" w:rsidRPr="00DC5730">
        <w:rPr>
          <w:rFonts w:ascii="Calibri" w:hAnsi="Calibri"/>
          <w:sz w:val="22"/>
        </w:rPr>
        <w:t>dicto</w:t>
      </w:r>
      <w:proofErr w:type="spellEnd"/>
      <w:r w:rsidR="00DC5730" w:rsidRPr="00DC5730">
        <w:rPr>
          <w:rFonts w:ascii="Calibri" w:hAnsi="Calibri"/>
          <w:sz w:val="22"/>
        </w:rPr>
        <w:t xml:space="preserve"> account of intentionality.</w:t>
      </w:r>
    </w:p>
    <w:p w:rsidR="00E71E78" w:rsidRDefault="00EA73C1" w:rsidP="00C17447">
      <w:pPr>
        <w:spacing w:line="48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proofErr w:type="spellStart"/>
      <w:r>
        <w:rPr>
          <w:rFonts w:ascii="Calibri" w:hAnsi="Calibri"/>
          <w:sz w:val="22"/>
        </w:rPr>
        <w:t>Frege’s</w:t>
      </w:r>
      <w:proofErr w:type="spellEnd"/>
      <w:r>
        <w:rPr>
          <w:rFonts w:ascii="Calibri" w:hAnsi="Calibri"/>
          <w:sz w:val="22"/>
        </w:rPr>
        <w:t xml:space="preserve"> account of intentionality illustrates how </w:t>
      </w:r>
      <w:r w:rsidR="00D31DAE">
        <w:rPr>
          <w:rFonts w:ascii="Calibri" w:hAnsi="Calibri"/>
          <w:sz w:val="22"/>
        </w:rPr>
        <w:t xml:space="preserve">it is that </w:t>
      </w:r>
      <w:r>
        <w:rPr>
          <w:rFonts w:ascii="Calibri" w:hAnsi="Calibri"/>
          <w:sz w:val="22"/>
        </w:rPr>
        <w:t xml:space="preserve">a thought or sentence </w:t>
      </w:r>
      <w:r w:rsidR="00D31DAE">
        <w:rPr>
          <w:rFonts w:ascii="Calibri" w:hAnsi="Calibri"/>
          <w:sz w:val="22"/>
        </w:rPr>
        <w:t>can come to be</w:t>
      </w:r>
      <w:r>
        <w:rPr>
          <w:rFonts w:ascii="Calibri" w:hAnsi="Calibri"/>
          <w:sz w:val="22"/>
        </w:rPr>
        <w:t xml:space="preserve"> about something in the world. </w:t>
      </w:r>
      <w:proofErr w:type="spellStart"/>
      <w:r w:rsidR="008336EC">
        <w:rPr>
          <w:rFonts w:ascii="Calibri" w:hAnsi="Calibri"/>
          <w:sz w:val="22"/>
        </w:rPr>
        <w:t>Frege</w:t>
      </w:r>
      <w:proofErr w:type="spellEnd"/>
      <w:r w:rsidR="008336EC">
        <w:rPr>
          <w:rFonts w:ascii="Calibri" w:hAnsi="Calibri"/>
          <w:sz w:val="22"/>
        </w:rPr>
        <w:t xml:space="preserve"> argues that</w:t>
      </w:r>
      <w:r>
        <w:rPr>
          <w:rFonts w:ascii="Calibri" w:hAnsi="Calibri"/>
          <w:sz w:val="22"/>
        </w:rPr>
        <w:t xml:space="preserve"> linguistic items express senses, and sentences express thoughts. Both senses and thoughts are abstract entities </w:t>
      </w:r>
      <w:r w:rsidR="00D45F46">
        <w:rPr>
          <w:rFonts w:ascii="Calibri" w:hAnsi="Calibri"/>
          <w:sz w:val="22"/>
        </w:rPr>
        <w:t>that</w:t>
      </w:r>
      <w:r>
        <w:rPr>
          <w:rFonts w:ascii="Calibri" w:hAnsi="Calibri"/>
          <w:sz w:val="22"/>
        </w:rPr>
        <w:t xml:space="preserve"> connect or mediate</w:t>
      </w:r>
      <w:r w:rsidR="008336EC">
        <w:rPr>
          <w:rFonts w:ascii="Calibri" w:hAnsi="Calibri"/>
          <w:sz w:val="22"/>
        </w:rPr>
        <w:t xml:space="preserve"> one’s</w:t>
      </w:r>
      <w:r>
        <w:rPr>
          <w:rFonts w:ascii="Calibri" w:hAnsi="Calibri"/>
          <w:sz w:val="22"/>
        </w:rPr>
        <w:t xml:space="preserve"> language to the world. </w:t>
      </w:r>
      <w:r w:rsidR="00D31DAE">
        <w:rPr>
          <w:rFonts w:ascii="Calibri" w:hAnsi="Calibri"/>
          <w:sz w:val="22"/>
        </w:rPr>
        <w:t xml:space="preserve">Each sense is </w:t>
      </w:r>
      <w:r w:rsidR="008336EC">
        <w:rPr>
          <w:rFonts w:ascii="Calibri" w:hAnsi="Calibri"/>
          <w:sz w:val="22"/>
        </w:rPr>
        <w:t>comprised of a</w:t>
      </w:r>
      <w:r w:rsidR="00D31DAE">
        <w:rPr>
          <w:rFonts w:ascii="Calibri" w:hAnsi="Calibri"/>
          <w:sz w:val="22"/>
        </w:rPr>
        <w:t xml:space="preserve"> set of conditions that uniquely </w:t>
      </w:r>
      <w:r w:rsidR="00D45F46">
        <w:rPr>
          <w:rFonts w:ascii="Calibri" w:hAnsi="Calibri"/>
          <w:sz w:val="22"/>
        </w:rPr>
        <w:t xml:space="preserve">characterizes </w:t>
      </w:r>
      <w:r w:rsidR="00E71E78">
        <w:rPr>
          <w:rFonts w:ascii="Calibri" w:hAnsi="Calibri"/>
          <w:sz w:val="22"/>
        </w:rPr>
        <w:t>and points out that</w:t>
      </w:r>
      <w:r w:rsidR="00D45F46">
        <w:rPr>
          <w:rFonts w:ascii="Calibri" w:hAnsi="Calibri"/>
          <w:sz w:val="22"/>
        </w:rPr>
        <w:t xml:space="preserve"> </w:t>
      </w:r>
      <w:r w:rsidR="00DC5730">
        <w:rPr>
          <w:rFonts w:ascii="Calibri" w:hAnsi="Calibri"/>
          <w:sz w:val="22"/>
        </w:rPr>
        <w:t>referent.</w:t>
      </w:r>
      <w:r w:rsidR="00D31DAE">
        <w:rPr>
          <w:rFonts w:ascii="Calibri" w:hAnsi="Calibri"/>
          <w:sz w:val="22"/>
        </w:rPr>
        <w:t xml:space="preserve"> </w:t>
      </w:r>
      <w:r w:rsidR="005171F4">
        <w:rPr>
          <w:rFonts w:ascii="Calibri" w:hAnsi="Calibri"/>
          <w:sz w:val="22"/>
        </w:rPr>
        <w:t>Additionally</w:t>
      </w:r>
      <w:r w:rsidR="008336EC">
        <w:rPr>
          <w:rFonts w:ascii="Calibri" w:hAnsi="Calibri"/>
          <w:sz w:val="22"/>
        </w:rPr>
        <w:t>, senses on their own</w:t>
      </w:r>
      <w:r w:rsidR="00E71E78">
        <w:rPr>
          <w:rFonts w:ascii="Calibri" w:hAnsi="Calibri"/>
          <w:sz w:val="22"/>
        </w:rPr>
        <w:t xml:space="preserve"> are not complete</w:t>
      </w:r>
      <w:r w:rsidR="00D45F46">
        <w:rPr>
          <w:rFonts w:ascii="Calibri" w:hAnsi="Calibri"/>
          <w:sz w:val="22"/>
        </w:rPr>
        <w:t xml:space="preserve"> and </w:t>
      </w:r>
      <w:r w:rsidR="00DC5730">
        <w:rPr>
          <w:rFonts w:ascii="Calibri" w:hAnsi="Calibri"/>
          <w:sz w:val="22"/>
        </w:rPr>
        <w:t xml:space="preserve">therefore </w:t>
      </w:r>
      <w:r w:rsidR="00D45F46">
        <w:rPr>
          <w:rFonts w:ascii="Calibri" w:hAnsi="Calibri"/>
          <w:sz w:val="22"/>
        </w:rPr>
        <w:t>cannot be</w:t>
      </w:r>
      <w:r w:rsidR="00DC5730">
        <w:rPr>
          <w:rFonts w:ascii="Calibri" w:hAnsi="Calibri"/>
          <w:sz w:val="22"/>
        </w:rPr>
        <w:t xml:space="preserve"> </w:t>
      </w:r>
      <w:r w:rsidR="00E97368">
        <w:rPr>
          <w:rFonts w:ascii="Calibri" w:hAnsi="Calibri"/>
          <w:sz w:val="22"/>
        </w:rPr>
        <w:t>assessed as either being true or false.</w:t>
      </w:r>
      <w:r w:rsidR="00DC5730">
        <w:rPr>
          <w:rFonts w:ascii="Calibri" w:hAnsi="Calibri"/>
          <w:sz w:val="22"/>
        </w:rPr>
        <w:t xml:space="preserve"> Thoughts</w:t>
      </w:r>
      <w:r w:rsidR="00E97368">
        <w:rPr>
          <w:rFonts w:ascii="Calibri" w:hAnsi="Calibri"/>
          <w:sz w:val="22"/>
        </w:rPr>
        <w:t>, on the other hand,</w:t>
      </w:r>
      <w:r w:rsidR="00E71E78">
        <w:rPr>
          <w:rFonts w:ascii="Calibri" w:hAnsi="Calibri"/>
          <w:sz w:val="22"/>
        </w:rPr>
        <w:t xml:space="preserve"> </w:t>
      </w:r>
      <w:r w:rsidR="00DC5730">
        <w:rPr>
          <w:rFonts w:ascii="Calibri" w:hAnsi="Calibri"/>
          <w:sz w:val="22"/>
        </w:rPr>
        <w:t xml:space="preserve">are </w:t>
      </w:r>
      <w:r w:rsidR="00E71E78">
        <w:rPr>
          <w:rFonts w:ascii="Calibri" w:hAnsi="Calibri"/>
          <w:sz w:val="22"/>
        </w:rPr>
        <w:t xml:space="preserve">complete and </w:t>
      </w:r>
      <w:r w:rsidR="00E97368">
        <w:rPr>
          <w:rFonts w:ascii="Calibri" w:hAnsi="Calibri"/>
          <w:sz w:val="22"/>
        </w:rPr>
        <w:t>do have truth-value</w:t>
      </w:r>
      <w:r w:rsidR="00E71E78">
        <w:rPr>
          <w:rFonts w:ascii="Calibri" w:hAnsi="Calibri"/>
          <w:sz w:val="22"/>
        </w:rPr>
        <w:t xml:space="preserve">. </w:t>
      </w:r>
    </w:p>
    <w:p w:rsidR="00012728" w:rsidRDefault="00E71E78" w:rsidP="00C17447">
      <w:pPr>
        <w:spacing w:line="48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3C34DE">
        <w:rPr>
          <w:rFonts w:ascii="Calibri" w:hAnsi="Calibri"/>
          <w:sz w:val="22"/>
        </w:rPr>
        <w:t>In his essay</w:t>
      </w:r>
      <w:r w:rsidR="00ED29EE">
        <w:rPr>
          <w:rFonts w:ascii="Calibri" w:hAnsi="Calibri"/>
          <w:sz w:val="22"/>
        </w:rPr>
        <w:t>,</w:t>
      </w:r>
      <w:r w:rsidR="003C34DE">
        <w:rPr>
          <w:rFonts w:ascii="Calibri" w:hAnsi="Calibri"/>
          <w:sz w:val="22"/>
        </w:rPr>
        <w:t xml:space="preserve"> “Proper Names and Identifying Descriptions,” Keith </w:t>
      </w:r>
      <w:proofErr w:type="spellStart"/>
      <w:r w:rsidR="003C34DE">
        <w:rPr>
          <w:rFonts w:ascii="Calibri" w:hAnsi="Calibri"/>
          <w:sz w:val="22"/>
        </w:rPr>
        <w:t>Donnellan</w:t>
      </w:r>
      <w:proofErr w:type="spellEnd"/>
      <w:r w:rsidR="003C34DE">
        <w:rPr>
          <w:rFonts w:ascii="Calibri" w:hAnsi="Calibri"/>
          <w:sz w:val="22"/>
        </w:rPr>
        <w:t xml:space="preserve"> presents an attack on how a proper name refers</w:t>
      </w:r>
      <w:r w:rsidR="003216CB">
        <w:rPr>
          <w:rFonts w:ascii="Calibri" w:hAnsi="Calibri"/>
          <w:sz w:val="22"/>
        </w:rPr>
        <w:t xml:space="preserve">. He </w:t>
      </w:r>
      <w:r w:rsidR="0079332E">
        <w:rPr>
          <w:rFonts w:ascii="Calibri" w:hAnsi="Calibri"/>
          <w:sz w:val="22"/>
        </w:rPr>
        <w:t xml:space="preserve">calls </w:t>
      </w:r>
      <w:r w:rsidR="003216CB">
        <w:rPr>
          <w:rFonts w:ascii="Calibri" w:hAnsi="Calibri"/>
          <w:sz w:val="22"/>
        </w:rPr>
        <w:t>this method</w:t>
      </w:r>
      <w:r w:rsidR="0079332E">
        <w:rPr>
          <w:rFonts w:ascii="Calibri" w:hAnsi="Calibri"/>
          <w:sz w:val="22"/>
        </w:rPr>
        <w:t xml:space="preserve"> </w:t>
      </w:r>
      <w:r w:rsidR="00ED29EE">
        <w:rPr>
          <w:rFonts w:ascii="Calibri" w:hAnsi="Calibri"/>
          <w:sz w:val="22"/>
        </w:rPr>
        <w:t xml:space="preserve">the </w:t>
      </w:r>
      <w:r w:rsidR="0079332E">
        <w:rPr>
          <w:rFonts w:ascii="Calibri" w:hAnsi="Calibri"/>
          <w:sz w:val="22"/>
        </w:rPr>
        <w:t>“princi</w:t>
      </w:r>
      <w:r w:rsidR="003216CB">
        <w:rPr>
          <w:rFonts w:ascii="Calibri" w:hAnsi="Calibri"/>
          <w:sz w:val="22"/>
        </w:rPr>
        <w:t>ple of identifying descriptions</w:t>
      </w:r>
      <w:r w:rsidR="0079332E">
        <w:rPr>
          <w:rFonts w:ascii="Calibri" w:hAnsi="Calibri"/>
          <w:sz w:val="22"/>
        </w:rPr>
        <w:t>”</w:t>
      </w:r>
      <w:r w:rsidR="003216CB">
        <w:rPr>
          <w:rFonts w:ascii="Calibri" w:hAnsi="Calibri"/>
          <w:sz w:val="22"/>
        </w:rPr>
        <w:t xml:space="preserve"> (POID) and</w:t>
      </w:r>
      <w:r w:rsidR="0079332E">
        <w:rPr>
          <w:rFonts w:ascii="Calibri" w:hAnsi="Calibri"/>
          <w:sz w:val="22"/>
        </w:rPr>
        <w:t xml:space="preserve"> claims that it is a two part thesis: 1) that the user of a proper name must be able to supply a set of definite descriptions that uniquely point out the referent, and 2) that the referent of a proper name (if there is one) is that object which uniquely fits a “sufficient” number of definite descriptions in the identifying description (definite descriptions are what articulate identifying descriptions).</w:t>
      </w:r>
      <w:r w:rsidR="001F7236">
        <w:rPr>
          <w:rFonts w:ascii="Calibri" w:hAnsi="Calibri"/>
          <w:sz w:val="22"/>
        </w:rPr>
        <w:t xml:space="preserve"> This principle is similar to </w:t>
      </w:r>
      <w:proofErr w:type="spellStart"/>
      <w:r w:rsidR="001F7236">
        <w:rPr>
          <w:rFonts w:ascii="Calibri" w:hAnsi="Calibri"/>
          <w:sz w:val="22"/>
        </w:rPr>
        <w:t>Frege’s</w:t>
      </w:r>
      <w:proofErr w:type="spellEnd"/>
      <w:r w:rsidR="001F7236">
        <w:rPr>
          <w:rFonts w:ascii="Calibri" w:hAnsi="Calibri"/>
          <w:sz w:val="22"/>
        </w:rPr>
        <w:t xml:space="preserve"> account of intentionality in that </w:t>
      </w:r>
      <w:r w:rsidR="009C218E">
        <w:rPr>
          <w:rFonts w:ascii="Calibri" w:hAnsi="Calibri"/>
          <w:sz w:val="22"/>
        </w:rPr>
        <w:t>it</w:t>
      </w:r>
      <w:r w:rsidR="001F7236">
        <w:rPr>
          <w:rFonts w:ascii="Calibri" w:hAnsi="Calibri"/>
          <w:sz w:val="22"/>
        </w:rPr>
        <w:t xml:space="preserve"> is grounded in</w:t>
      </w:r>
      <w:r w:rsidR="00305F95">
        <w:rPr>
          <w:rFonts w:ascii="Calibri" w:hAnsi="Calibri"/>
          <w:sz w:val="22"/>
        </w:rPr>
        <w:t xml:space="preserve"> mediated reference</w:t>
      </w:r>
      <w:r w:rsidR="005171F4">
        <w:rPr>
          <w:rFonts w:ascii="Calibri" w:hAnsi="Calibri"/>
          <w:sz w:val="22"/>
        </w:rPr>
        <w:t xml:space="preserve">. </w:t>
      </w:r>
    </w:p>
    <w:p w:rsidR="002B06F1" w:rsidRDefault="005171F4" w:rsidP="00C17447">
      <w:pPr>
        <w:spacing w:line="48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proofErr w:type="spellStart"/>
      <w:r>
        <w:rPr>
          <w:rFonts w:ascii="Calibri" w:hAnsi="Calibri"/>
          <w:sz w:val="22"/>
        </w:rPr>
        <w:t>Donnellan</w:t>
      </w:r>
      <w:proofErr w:type="spellEnd"/>
      <w:r>
        <w:rPr>
          <w:rFonts w:ascii="Calibri" w:hAnsi="Calibri"/>
          <w:sz w:val="22"/>
        </w:rPr>
        <w:t xml:space="preserve"> rejects this principle and provides four examples, two in </w:t>
      </w:r>
      <w:r w:rsidR="00D80C7B">
        <w:rPr>
          <w:rFonts w:ascii="Calibri" w:hAnsi="Calibri"/>
          <w:sz w:val="22"/>
        </w:rPr>
        <w:t>particular that</w:t>
      </w:r>
      <w:r>
        <w:rPr>
          <w:rFonts w:ascii="Calibri" w:hAnsi="Calibri"/>
          <w:sz w:val="22"/>
        </w:rPr>
        <w:t xml:space="preserve"> he feels </w:t>
      </w:r>
      <w:r w:rsidR="00D80C7B">
        <w:rPr>
          <w:rFonts w:ascii="Calibri" w:hAnsi="Calibri"/>
          <w:sz w:val="22"/>
        </w:rPr>
        <w:t>justify</w:t>
      </w:r>
      <w:r>
        <w:rPr>
          <w:rFonts w:ascii="Calibri" w:hAnsi="Calibri"/>
          <w:sz w:val="22"/>
        </w:rPr>
        <w:t xml:space="preserve"> that rejection. In the first example, </w:t>
      </w:r>
      <w:proofErr w:type="spellStart"/>
      <w:r>
        <w:rPr>
          <w:rFonts w:ascii="Calibri" w:hAnsi="Calibri"/>
          <w:sz w:val="22"/>
        </w:rPr>
        <w:t>Donnellan</w:t>
      </w:r>
      <w:proofErr w:type="spellEnd"/>
      <w:r>
        <w:rPr>
          <w:rFonts w:ascii="Calibri" w:hAnsi="Calibri"/>
          <w:sz w:val="22"/>
        </w:rPr>
        <w:t xml:space="preserve"> presents </w:t>
      </w:r>
      <w:r w:rsidR="00D80C7B">
        <w:rPr>
          <w:rFonts w:ascii="Calibri" w:hAnsi="Calibri"/>
          <w:sz w:val="22"/>
        </w:rPr>
        <w:t xml:space="preserve">a plausible case in which reference occurs </w:t>
      </w:r>
      <w:r w:rsidR="0047642A">
        <w:rPr>
          <w:rFonts w:ascii="Calibri" w:hAnsi="Calibri"/>
          <w:sz w:val="22"/>
        </w:rPr>
        <w:t>while</w:t>
      </w:r>
      <w:r w:rsidR="00D80C7B">
        <w:rPr>
          <w:rFonts w:ascii="Calibri" w:hAnsi="Calibri"/>
          <w:sz w:val="22"/>
        </w:rPr>
        <w:t xml:space="preserve"> the speaker is unable to provide any identifying </w:t>
      </w:r>
      <w:r w:rsidR="002B06F1">
        <w:rPr>
          <w:rFonts w:ascii="Calibri" w:hAnsi="Calibri"/>
          <w:sz w:val="22"/>
        </w:rPr>
        <w:t xml:space="preserve">descriptions: </w:t>
      </w:r>
      <w:r w:rsidR="00D80C7B">
        <w:rPr>
          <w:rFonts w:ascii="Calibri" w:hAnsi="Calibri"/>
          <w:sz w:val="22"/>
        </w:rPr>
        <w:t>A</w:t>
      </w:r>
      <w:r>
        <w:rPr>
          <w:rFonts w:ascii="Calibri" w:hAnsi="Calibri"/>
          <w:sz w:val="22"/>
        </w:rPr>
        <w:t xml:space="preserve"> young child is sleeping at a home while his parents are throwing a party. </w:t>
      </w:r>
      <w:r w:rsidR="00D80C7B">
        <w:rPr>
          <w:rFonts w:ascii="Calibri" w:hAnsi="Calibri"/>
          <w:sz w:val="22"/>
        </w:rPr>
        <w:t xml:space="preserve">The child wakes up and meets a strange man, who tells him, “You have a nice set of parents” and then walks away. It is not until a couple weeks later that the child tells his parents, “Tom is a nice man.” But because the parents throw many parties and know many men named “Tom,” they are unable to distinguish </w:t>
      </w:r>
      <w:r w:rsidR="00C77838">
        <w:rPr>
          <w:rFonts w:ascii="Calibri" w:hAnsi="Calibri"/>
          <w:sz w:val="22"/>
        </w:rPr>
        <w:t>whom the child is referring to</w:t>
      </w:r>
      <w:r w:rsidR="002B06F1">
        <w:rPr>
          <w:rFonts w:ascii="Calibri" w:hAnsi="Calibri"/>
          <w:sz w:val="22"/>
        </w:rPr>
        <w:t xml:space="preserve">, yet </w:t>
      </w:r>
      <w:r w:rsidR="0047642A">
        <w:rPr>
          <w:rFonts w:ascii="Calibri" w:hAnsi="Calibri"/>
          <w:sz w:val="22"/>
        </w:rPr>
        <w:t xml:space="preserve">still </w:t>
      </w:r>
      <w:r w:rsidR="002B06F1">
        <w:rPr>
          <w:rFonts w:ascii="Calibri" w:hAnsi="Calibri"/>
          <w:sz w:val="22"/>
        </w:rPr>
        <w:t>it appears that the child is actually referring</w:t>
      </w:r>
      <w:r w:rsidR="00C77838">
        <w:rPr>
          <w:rFonts w:ascii="Calibri" w:hAnsi="Calibri"/>
          <w:sz w:val="22"/>
        </w:rPr>
        <w:t xml:space="preserve">. </w:t>
      </w:r>
      <w:proofErr w:type="spellStart"/>
      <w:r w:rsidR="00C77838">
        <w:rPr>
          <w:rFonts w:ascii="Calibri" w:hAnsi="Calibri"/>
          <w:sz w:val="22"/>
        </w:rPr>
        <w:t>Donnellan</w:t>
      </w:r>
      <w:proofErr w:type="spellEnd"/>
      <w:r w:rsidR="00C77838">
        <w:rPr>
          <w:rFonts w:ascii="Calibri" w:hAnsi="Calibri"/>
          <w:sz w:val="22"/>
        </w:rPr>
        <w:t xml:space="preserve"> claims that this is a violatio</w:t>
      </w:r>
      <w:r w:rsidR="002B06F1">
        <w:rPr>
          <w:rFonts w:ascii="Calibri" w:hAnsi="Calibri"/>
          <w:sz w:val="22"/>
        </w:rPr>
        <w:t>n of the first part of the POID.</w:t>
      </w:r>
    </w:p>
    <w:p w:rsidR="00E950E9" w:rsidRDefault="00430378" w:rsidP="00C17447">
      <w:pPr>
        <w:spacing w:line="48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 xml:space="preserve">In a second example, </w:t>
      </w:r>
      <w:proofErr w:type="spellStart"/>
      <w:r>
        <w:rPr>
          <w:rFonts w:ascii="Calibri" w:hAnsi="Calibri"/>
          <w:sz w:val="22"/>
        </w:rPr>
        <w:t>Donnellan</w:t>
      </w:r>
      <w:proofErr w:type="spellEnd"/>
      <w:r>
        <w:rPr>
          <w:rFonts w:ascii="Calibri" w:hAnsi="Calibri"/>
          <w:sz w:val="22"/>
        </w:rPr>
        <w:t xml:space="preserve"> presents </w:t>
      </w:r>
      <w:r w:rsidR="00012BE6">
        <w:rPr>
          <w:rFonts w:ascii="Calibri" w:hAnsi="Calibri"/>
          <w:sz w:val="22"/>
        </w:rPr>
        <w:t xml:space="preserve">a plausible case in which the definite descriptions don’t point out a unique referent. </w:t>
      </w:r>
      <w:r w:rsidR="00D83C7E">
        <w:rPr>
          <w:rFonts w:ascii="Calibri" w:hAnsi="Calibri"/>
          <w:sz w:val="22"/>
        </w:rPr>
        <w:t>For example, a</w:t>
      </w:r>
      <w:r w:rsidR="00012BE6">
        <w:rPr>
          <w:rFonts w:ascii="Calibri" w:hAnsi="Calibri"/>
          <w:sz w:val="22"/>
        </w:rPr>
        <w:t xml:space="preserve"> student attends a party and believes he has met the famous philosopher, J.L Aston-Martin</w:t>
      </w:r>
      <w:r w:rsidR="00D83C7E">
        <w:rPr>
          <w:rFonts w:ascii="Calibri" w:hAnsi="Calibri"/>
          <w:sz w:val="22"/>
        </w:rPr>
        <w:t>, who actually is just a look-alike</w:t>
      </w:r>
      <w:r w:rsidR="00012BE6">
        <w:rPr>
          <w:rFonts w:ascii="Calibri" w:hAnsi="Calibri"/>
          <w:sz w:val="22"/>
        </w:rPr>
        <w:t xml:space="preserve">. The student talks with the man for a while, and then as he is leaving, J.L. Aston-Martin (the look-alike) trips over </w:t>
      </w:r>
      <w:r w:rsidR="00D822B9">
        <w:rPr>
          <w:rFonts w:ascii="Calibri" w:hAnsi="Calibri"/>
          <w:sz w:val="22"/>
        </w:rPr>
        <w:t>his</w:t>
      </w:r>
      <w:r w:rsidR="00012BE6">
        <w:rPr>
          <w:rFonts w:ascii="Calibri" w:hAnsi="Calibri"/>
          <w:sz w:val="22"/>
        </w:rPr>
        <w:t xml:space="preserve"> </w:t>
      </w:r>
      <w:r w:rsidR="00C36DBF">
        <w:rPr>
          <w:rFonts w:ascii="Calibri" w:hAnsi="Calibri"/>
          <w:sz w:val="22"/>
        </w:rPr>
        <w:t xml:space="preserve">foot. </w:t>
      </w:r>
      <w:r w:rsidR="00012BE6">
        <w:rPr>
          <w:rFonts w:ascii="Calibri" w:hAnsi="Calibri"/>
          <w:sz w:val="22"/>
        </w:rPr>
        <w:t xml:space="preserve">The next day, the student </w:t>
      </w:r>
      <w:r w:rsidR="00D822B9">
        <w:rPr>
          <w:rFonts w:ascii="Calibri" w:hAnsi="Calibri"/>
          <w:sz w:val="22"/>
        </w:rPr>
        <w:t>tells</w:t>
      </w:r>
      <w:r w:rsidR="00012BE6">
        <w:rPr>
          <w:rFonts w:ascii="Calibri" w:hAnsi="Calibri"/>
          <w:sz w:val="22"/>
        </w:rPr>
        <w:t xml:space="preserve"> his friends how he met J.L. Aston-Martin (referring to the famous philosopher), and then tells them how </w:t>
      </w:r>
      <w:r w:rsidR="00C36DBF">
        <w:rPr>
          <w:rFonts w:ascii="Calibri" w:hAnsi="Calibri"/>
          <w:sz w:val="22"/>
        </w:rPr>
        <w:t>he</w:t>
      </w:r>
      <w:r w:rsidR="00012BE6">
        <w:rPr>
          <w:rFonts w:ascii="Calibri" w:hAnsi="Calibri"/>
          <w:sz w:val="22"/>
        </w:rPr>
        <w:t xml:space="preserve"> tripped over his foot (referring to the look-alike at the party)</w:t>
      </w:r>
      <w:r w:rsidR="00A72291">
        <w:rPr>
          <w:rFonts w:ascii="Calibri" w:hAnsi="Calibri"/>
          <w:sz w:val="22"/>
        </w:rPr>
        <w:t>. The pro</w:t>
      </w:r>
      <w:r w:rsidR="00C36DBF">
        <w:rPr>
          <w:rFonts w:ascii="Calibri" w:hAnsi="Calibri"/>
          <w:sz w:val="22"/>
        </w:rPr>
        <w:t xml:space="preserve">blem with this counter-example </w:t>
      </w:r>
      <w:r w:rsidR="00A72291">
        <w:rPr>
          <w:rFonts w:ascii="Calibri" w:hAnsi="Calibri"/>
          <w:sz w:val="22"/>
        </w:rPr>
        <w:t>is that it violates the second part of the POID</w:t>
      </w:r>
      <w:r w:rsidR="00D822B9">
        <w:rPr>
          <w:rFonts w:ascii="Calibri" w:hAnsi="Calibri"/>
          <w:sz w:val="22"/>
        </w:rPr>
        <w:t>.</w:t>
      </w:r>
      <w:r w:rsidR="00A72291">
        <w:rPr>
          <w:rFonts w:ascii="Calibri" w:hAnsi="Calibri"/>
          <w:sz w:val="22"/>
        </w:rPr>
        <w:t xml:space="preserve"> </w:t>
      </w:r>
      <w:r w:rsidR="00D822B9">
        <w:rPr>
          <w:rFonts w:ascii="Calibri" w:hAnsi="Calibri"/>
          <w:sz w:val="22"/>
        </w:rPr>
        <w:t>Since</w:t>
      </w:r>
      <w:r w:rsidR="00A72291">
        <w:rPr>
          <w:rFonts w:ascii="Calibri" w:hAnsi="Calibri"/>
          <w:sz w:val="22"/>
        </w:rPr>
        <w:t xml:space="preserve"> the student’s definite descriptions do not </w:t>
      </w:r>
      <w:r w:rsidR="0047642A">
        <w:rPr>
          <w:rFonts w:ascii="Calibri" w:hAnsi="Calibri"/>
          <w:sz w:val="22"/>
        </w:rPr>
        <w:t>accurately</w:t>
      </w:r>
      <w:r w:rsidR="00A72291">
        <w:rPr>
          <w:rFonts w:ascii="Calibri" w:hAnsi="Calibri"/>
          <w:sz w:val="22"/>
        </w:rPr>
        <w:t xml:space="preserve"> characterize the proper name, it seems that the description</w:t>
      </w:r>
      <w:r w:rsidR="009C218E">
        <w:rPr>
          <w:rFonts w:ascii="Calibri" w:hAnsi="Calibri"/>
          <w:sz w:val="22"/>
        </w:rPr>
        <w:t>s</w:t>
      </w:r>
      <w:r w:rsidR="00A72291">
        <w:rPr>
          <w:rFonts w:ascii="Calibri" w:hAnsi="Calibri"/>
          <w:sz w:val="22"/>
        </w:rPr>
        <w:t xml:space="preserve"> </w:t>
      </w:r>
      <w:r w:rsidR="0047642A">
        <w:rPr>
          <w:rFonts w:ascii="Calibri" w:hAnsi="Calibri"/>
          <w:sz w:val="22"/>
        </w:rPr>
        <w:t>are not properly referring</w:t>
      </w:r>
      <w:r w:rsidR="00A72291">
        <w:rPr>
          <w:rFonts w:ascii="Calibri" w:hAnsi="Calibri"/>
          <w:sz w:val="22"/>
        </w:rPr>
        <w:t>.</w:t>
      </w:r>
    </w:p>
    <w:p w:rsidR="0064186E" w:rsidRDefault="00E950E9" w:rsidP="00C17447">
      <w:pPr>
        <w:spacing w:line="48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64186E">
        <w:rPr>
          <w:rFonts w:ascii="Calibri" w:hAnsi="Calibri"/>
          <w:sz w:val="22"/>
        </w:rPr>
        <w:t xml:space="preserve">Both of </w:t>
      </w:r>
      <w:proofErr w:type="spellStart"/>
      <w:r w:rsidR="0064186E">
        <w:rPr>
          <w:rFonts w:ascii="Calibri" w:hAnsi="Calibri"/>
          <w:sz w:val="22"/>
        </w:rPr>
        <w:t>Donnellan’s</w:t>
      </w:r>
      <w:proofErr w:type="spellEnd"/>
      <w:r w:rsidR="0064186E">
        <w:rPr>
          <w:rFonts w:ascii="Calibri" w:hAnsi="Calibri"/>
          <w:sz w:val="22"/>
        </w:rPr>
        <w:t xml:space="preserve"> counter-examples to the POID cast doubt on </w:t>
      </w:r>
      <w:proofErr w:type="spellStart"/>
      <w:r w:rsidR="0064186E">
        <w:rPr>
          <w:rFonts w:ascii="Calibri" w:hAnsi="Calibri"/>
          <w:sz w:val="22"/>
        </w:rPr>
        <w:t>Frege’s</w:t>
      </w:r>
      <w:proofErr w:type="spellEnd"/>
      <w:r w:rsidR="0064186E">
        <w:rPr>
          <w:rFonts w:ascii="Calibri" w:hAnsi="Calibri"/>
          <w:sz w:val="22"/>
        </w:rPr>
        <w:t xml:space="preserve"> account of intentionality because on </w:t>
      </w:r>
      <w:proofErr w:type="spellStart"/>
      <w:r w:rsidR="0064186E">
        <w:rPr>
          <w:rFonts w:ascii="Calibri" w:hAnsi="Calibri"/>
          <w:sz w:val="22"/>
        </w:rPr>
        <w:t>Frege’s</w:t>
      </w:r>
      <w:proofErr w:type="spellEnd"/>
      <w:r w:rsidR="0064186E">
        <w:rPr>
          <w:rFonts w:ascii="Calibri" w:hAnsi="Calibri"/>
          <w:sz w:val="22"/>
        </w:rPr>
        <w:t xml:space="preserve"> view, due to the reliance on mediated referenc</w:t>
      </w:r>
      <w:r w:rsidR="00CD4E70">
        <w:rPr>
          <w:rFonts w:ascii="Calibri" w:hAnsi="Calibri"/>
          <w:sz w:val="22"/>
        </w:rPr>
        <w:t>e, one is committed to the POID</w:t>
      </w:r>
      <w:r w:rsidR="0064186E">
        <w:rPr>
          <w:rFonts w:ascii="Calibri" w:hAnsi="Calibri"/>
          <w:sz w:val="22"/>
        </w:rPr>
        <w:t xml:space="preserve">. If </w:t>
      </w:r>
      <w:proofErr w:type="spellStart"/>
      <w:r w:rsidR="0064186E">
        <w:rPr>
          <w:rFonts w:ascii="Calibri" w:hAnsi="Calibri"/>
          <w:sz w:val="22"/>
        </w:rPr>
        <w:t>Donnellan’s</w:t>
      </w:r>
      <w:proofErr w:type="spellEnd"/>
      <w:r w:rsidR="0064186E">
        <w:rPr>
          <w:rFonts w:ascii="Calibri" w:hAnsi="Calibri"/>
          <w:sz w:val="22"/>
        </w:rPr>
        <w:t xml:space="preserve"> criticisms are accurate, then the child at the party case shows that definite descriptions are not needed to point something out uniquely, and the J.L. Aston-Martin case shows that definite descriptions don’t always</w:t>
      </w:r>
      <w:r w:rsidR="00346227">
        <w:rPr>
          <w:rFonts w:ascii="Calibri" w:hAnsi="Calibri"/>
          <w:sz w:val="22"/>
        </w:rPr>
        <w:t xml:space="preserve"> point to something particular.</w:t>
      </w:r>
    </w:p>
    <w:p w:rsidR="00D661B4" w:rsidRDefault="0064186E" w:rsidP="00C17447">
      <w:pPr>
        <w:spacing w:line="48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A573C0">
        <w:rPr>
          <w:rFonts w:ascii="Calibri" w:hAnsi="Calibri"/>
          <w:sz w:val="22"/>
        </w:rPr>
        <w:t xml:space="preserve">Two general </w:t>
      </w:r>
      <w:r w:rsidR="004D7713">
        <w:rPr>
          <w:rFonts w:ascii="Calibri" w:hAnsi="Calibri"/>
          <w:sz w:val="22"/>
        </w:rPr>
        <w:t>methods</w:t>
      </w:r>
      <w:r w:rsidR="00A573C0">
        <w:rPr>
          <w:rFonts w:ascii="Calibri" w:hAnsi="Calibri"/>
          <w:sz w:val="22"/>
        </w:rPr>
        <w:t xml:space="preserve"> of belief are “belief de </w:t>
      </w:r>
      <w:proofErr w:type="spellStart"/>
      <w:r w:rsidR="00A573C0">
        <w:rPr>
          <w:rFonts w:ascii="Calibri" w:hAnsi="Calibri"/>
          <w:sz w:val="22"/>
        </w:rPr>
        <w:t>dicto</w:t>
      </w:r>
      <w:proofErr w:type="spellEnd"/>
      <w:r w:rsidR="00A573C0">
        <w:rPr>
          <w:rFonts w:ascii="Calibri" w:hAnsi="Calibri"/>
          <w:sz w:val="22"/>
        </w:rPr>
        <w:t xml:space="preserve">” and “belief de re.” Belief de </w:t>
      </w:r>
      <w:proofErr w:type="spellStart"/>
      <w:r w:rsidR="00A573C0">
        <w:rPr>
          <w:rFonts w:ascii="Calibri" w:hAnsi="Calibri"/>
          <w:sz w:val="22"/>
        </w:rPr>
        <w:t>dicto</w:t>
      </w:r>
      <w:proofErr w:type="spellEnd"/>
      <w:r w:rsidR="00A573C0">
        <w:rPr>
          <w:rFonts w:ascii="Calibri" w:hAnsi="Calibri"/>
          <w:sz w:val="22"/>
        </w:rPr>
        <w:t xml:space="preserve"> is a form of indirect reference that is entirely conceptual. It relates a believer to a complete thought: a complete thought in the sense that the representation is either entirely true or entirely false. Belief de re, on the other hand, is a form of direct reference that is partly conceptual and partly contextual. </w:t>
      </w:r>
      <w:r w:rsidR="004D7713">
        <w:rPr>
          <w:rFonts w:ascii="Calibri" w:hAnsi="Calibri"/>
          <w:sz w:val="22"/>
        </w:rPr>
        <w:t xml:space="preserve">It relates a believer to a general, partial characterization and </w:t>
      </w:r>
      <w:r w:rsidR="009713D0">
        <w:rPr>
          <w:rFonts w:ascii="Calibri" w:hAnsi="Calibri"/>
          <w:sz w:val="22"/>
        </w:rPr>
        <w:t xml:space="preserve">to </w:t>
      </w:r>
      <w:r w:rsidR="004D7713">
        <w:rPr>
          <w:rFonts w:ascii="Calibri" w:hAnsi="Calibri"/>
          <w:sz w:val="22"/>
        </w:rPr>
        <w:t>a thing. For example, “</w:t>
      </w:r>
      <w:proofErr w:type="spellStart"/>
      <w:r w:rsidR="004D7713">
        <w:rPr>
          <w:rFonts w:ascii="Calibri" w:hAnsi="Calibri"/>
          <w:sz w:val="22"/>
        </w:rPr>
        <w:t>Orcutt</w:t>
      </w:r>
      <w:proofErr w:type="spellEnd"/>
      <w:r w:rsidR="004D7713">
        <w:rPr>
          <w:rFonts w:ascii="Calibri" w:hAnsi="Calibri"/>
          <w:sz w:val="22"/>
        </w:rPr>
        <w:t xml:space="preserve"> believes of someone in particular that he is a spy” represents a de re belief. The “of someone in particular” provides the contextual part, and the “a spy” provides the conceptual part.</w:t>
      </w:r>
    </w:p>
    <w:p w:rsidR="001B1BF8" w:rsidRDefault="00D661B4" w:rsidP="00C17447">
      <w:pPr>
        <w:spacing w:line="48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In his essay, “Belief De Re,” Tyler Burge argues that belief de re is the more fundamen</w:t>
      </w:r>
      <w:r w:rsidR="000D5935">
        <w:rPr>
          <w:rFonts w:ascii="Calibri" w:hAnsi="Calibri"/>
          <w:sz w:val="22"/>
        </w:rPr>
        <w:t xml:space="preserve">tal method than belief de </w:t>
      </w:r>
      <w:proofErr w:type="spellStart"/>
      <w:r w:rsidR="000D5935">
        <w:rPr>
          <w:rFonts w:ascii="Calibri" w:hAnsi="Calibri"/>
          <w:sz w:val="22"/>
        </w:rPr>
        <w:t>dicto</w:t>
      </w:r>
      <w:proofErr w:type="spellEnd"/>
      <w:r w:rsidR="000D5935">
        <w:rPr>
          <w:rFonts w:ascii="Calibri" w:hAnsi="Calibri"/>
          <w:sz w:val="22"/>
        </w:rPr>
        <w:t xml:space="preserve">. He begins his argument by </w:t>
      </w:r>
      <w:r w:rsidR="001F4503">
        <w:rPr>
          <w:rFonts w:ascii="Calibri" w:hAnsi="Calibri"/>
          <w:sz w:val="22"/>
        </w:rPr>
        <w:t xml:space="preserve">showing how </w:t>
      </w:r>
      <w:proofErr w:type="spellStart"/>
      <w:r w:rsidR="000D5935">
        <w:rPr>
          <w:rFonts w:ascii="Calibri" w:hAnsi="Calibri"/>
          <w:sz w:val="22"/>
        </w:rPr>
        <w:t>indexicals</w:t>
      </w:r>
      <w:proofErr w:type="spellEnd"/>
      <w:r w:rsidR="000D5935">
        <w:rPr>
          <w:rFonts w:ascii="Calibri" w:hAnsi="Calibri"/>
          <w:sz w:val="22"/>
        </w:rPr>
        <w:t xml:space="preserve"> are the linguistic phenomena of a sentence. For example, “This is a marker” is a de re belief, because the word “this” is </w:t>
      </w:r>
      <w:r w:rsidR="00527534">
        <w:rPr>
          <w:rFonts w:ascii="Calibri" w:hAnsi="Calibri"/>
          <w:sz w:val="22"/>
        </w:rPr>
        <w:t>an</w:t>
      </w:r>
      <w:r w:rsidR="000D5935">
        <w:rPr>
          <w:rFonts w:ascii="Calibri" w:hAnsi="Calibri"/>
          <w:sz w:val="22"/>
        </w:rPr>
        <w:t xml:space="preserve"> indexical </w:t>
      </w:r>
      <w:r w:rsidR="00527534">
        <w:rPr>
          <w:rFonts w:ascii="Calibri" w:hAnsi="Calibri"/>
          <w:sz w:val="22"/>
        </w:rPr>
        <w:t>that</w:t>
      </w:r>
      <w:r w:rsidR="00D14829">
        <w:rPr>
          <w:rFonts w:ascii="Calibri" w:hAnsi="Calibri"/>
          <w:sz w:val="22"/>
        </w:rPr>
        <w:t>’s used to supply</w:t>
      </w:r>
      <w:r w:rsidR="000D5935">
        <w:rPr>
          <w:rFonts w:ascii="Calibri" w:hAnsi="Calibri"/>
          <w:sz w:val="22"/>
        </w:rPr>
        <w:t xml:space="preserve"> the contextual</w:t>
      </w:r>
      <w:r w:rsidR="00527534">
        <w:rPr>
          <w:rFonts w:ascii="Calibri" w:hAnsi="Calibri"/>
          <w:sz w:val="22"/>
        </w:rPr>
        <w:t xml:space="preserve"> part</w:t>
      </w:r>
      <w:r w:rsidR="000D5935">
        <w:rPr>
          <w:rFonts w:ascii="Calibri" w:hAnsi="Calibri"/>
          <w:sz w:val="22"/>
        </w:rPr>
        <w:t xml:space="preserve">, and the </w:t>
      </w:r>
      <w:r w:rsidR="001F4503">
        <w:rPr>
          <w:rFonts w:ascii="Calibri" w:hAnsi="Calibri"/>
          <w:sz w:val="22"/>
        </w:rPr>
        <w:t xml:space="preserve">words “is a marker” </w:t>
      </w:r>
      <w:r w:rsidR="00D14829">
        <w:rPr>
          <w:rFonts w:ascii="Calibri" w:hAnsi="Calibri"/>
          <w:sz w:val="22"/>
        </w:rPr>
        <w:t>are used to supply</w:t>
      </w:r>
      <w:r w:rsidR="001F4503">
        <w:rPr>
          <w:rFonts w:ascii="Calibri" w:hAnsi="Calibri"/>
          <w:sz w:val="22"/>
        </w:rPr>
        <w:t xml:space="preserve"> the conceptual part. </w:t>
      </w:r>
      <w:r w:rsidR="00527534">
        <w:rPr>
          <w:rFonts w:ascii="Calibri" w:hAnsi="Calibri"/>
          <w:sz w:val="22"/>
        </w:rPr>
        <w:t xml:space="preserve">This account is completely </w:t>
      </w:r>
      <w:r w:rsidR="00D14829">
        <w:rPr>
          <w:rFonts w:ascii="Calibri" w:hAnsi="Calibri"/>
          <w:sz w:val="22"/>
        </w:rPr>
        <w:t xml:space="preserve">inconsistent </w:t>
      </w:r>
      <w:r w:rsidR="009F30D1">
        <w:rPr>
          <w:rFonts w:ascii="Calibri" w:hAnsi="Calibri"/>
          <w:sz w:val="22"/>
        </w:rPr>
        <w:t>with the traditiona</w:t>
      </w:r>
      <w:r w:rsidR="00D14829">
        <w:rPr>
          <w:rFonts w:ascii="Calibri" w:hAnsi="Calibri"/>
          <w:sz w:val="22"/>
        </w:rPr>
        <w:t xml:space="preserve">l understanding of </w:t>
      </w:r>
      <w:proofErr w:type="spellStart"/>
      <w:r w:rsidR="00D14829">
        <w:rPr>
          <w:rFonts w:ascii="Calibri" w:hAnsi="Calibri"/>
          <w:sz w:val="22"/>
        </w:rPr>
        <w:t>Frege’s</w:t>
      </w:r>
      <w:proofErr w:type="spellEnd"/>
      <w:r w:rsidR="00D14829">
        <w:rPr>
          <w:rFonts w:ascii="Calibri" w:hAnsi="Calibri"/>
          <w:sz w:val="22"/>
        </w:rPr>
        <w:t xml:space="preserve"> view</w:t>
      </w:r>
      <w:r w:rsidR="009F30D1">
        <w:rPr>
          <w:rFonts w:ascii="Calibri" w:hAnsi="Calibri"/>
          <w:sz w:val="22"/>
        </w:rPr>
        <w:t xml:space="preserve"> because, under </w:t>
      </w:r>
      <w:proofErr w:type="spellStart"/>
      <w:r w:rsidR="009F30D1">
        <w:rPr>
          <w:rFonts w:ascii="Calibri" w:hAnsi="Calibri"/>
          <w:sz w:val="22"/>
        </w:rPr>
        <w:t>Frege’s</w:t>
      </w:r>
      <w:proofErr w:type="spellEnd"/>
      <w:r w:rsidR="009F30D1">
        <w:rPr>
          <w:rFonts w:ascii="Calibri" w:hAnsi="Calibri"/>
          <w:sz w:val="22"/>
        </w:rPr>
        <w:t xml:space="preserve"> view, reference is made by purely conceptual, de </w:t>
      </w:r>
      <w:proofErr w:type="spellStart"/>
      <w:r w:rsidR="009F30D1">
        <w:rPr>
          <w:rFonts w:ascii="Calibri" w:hAnsi="Calibri"/>
          <w:sz w:val="22"/>
        </w:rPr>
        <w:t>dicto</w:t>
      </w:r>
      <w:proofErr w:type="spellEnd"/>
      <w:r w:rsidR="009F30D1">
        <w:rPr>
          <w:rFonts w:ascii="Calibri" w:hAnsi="Calibri"/>
          <w:sz w:val="22"/>
        </w:rPr>
        <w:t xml:space="preserve"> </w:t>
      </w:r>
      <w:r w:rsidR="0026303D">
        <w:rPr>
          <w:rFonts w:ascii="Calibri" w:hAnsi="Calibri"/>
          <w:sz w:val="22"/>
        </w:rPr>
        <w:t>method</w:t>
      </w:r>
      <w:r w:rsidR="009F30D1">
        <w:rPr>
          <w:rFonts w:ascii="Calibri" w:hAnsi="Calibri"/>
          <w:sz w:val="22"/>
        </w:rPr>
        <w:t xml:space="preserve">. </w:t>
      </w:r>
      <w:r w:rsidR="00D14829">
        <w:rPr>
          <w:rFonts w:ascii="Calibri" w:hAnsi="Calibri"/>
          <w:sz w:val="22"/>
        </w:rPr>
        <w:t xml:space="preserve">Because de </w:t>
      </w:r>
      <w:proofErr w:type="spellStart"/>
      <w:r w:rsidR="00D14829">
        <w:rPr>
          <w:rFonts w:ascii="Calibri" w:hAnsi="Calibri"/>
          <w:sz w:val="22"/>
        </w:rPr>
        <w:t>dicto</w:t>
      </w:r>
      <w:proofErr w:type="spellEnd"/>
      <w:r w:rsidR="00D14829">
        <w:rPr>
          <w:rFonts w:ascii="Calibri" w:hAnsi="Calibri"/>
          <w:sz w:val="22"/>
        </w:rPr>
        <w:t xml:space="preserve"> beliefs don’t reduce to de re beliefs, it is not possible to hold both </w:t>
      </w:r>
      <w:r w:rsidR="001B1BF8">
        <w:rPr>
          <w:rFonts w:ascii="Calibri" w:hAnsi="Calibri"/>
          <w:sz w:val="22"/>
        </w:rPr>
        <w:t xml:space="preserve">Burge’s and </w:t>
      </w:r>
      <w:proofErr w:type="spellStart"/>
      <w:r w:rsidR="001B1BF8">
        <w:rPr>
          <w:rFonts w:ascii="Calibri" w:hAnsi="Calibri"/>
          <w:sz w:val="22"/>
        </w:rPr>
        <w:t>Frege’s</w:t>
      </w:r>
      <w:proofErr w:type="spellEnd"/>
      <w:r w:rsidR="001B1BF8">
        <w:rPr>
          <w:rFonts w:ascii="Calibri" w:hAnsi="Calibri"/>
          <w:sz w:val="22"/>
        </w:rPr>
        <w:t xml:space="preserve"> views </w:t>
      </w:r>
      <w:r w:rsidR="00894BA3">
        <w:rPr>
          <w:rFonts w:ascii="Calibri" w:hAnsi="Calibri"/>
          <w:sz w:val="22"/>
        </w:rPr>
        <w:t>while</w:t>
      </w:r>
      <w:r w:rsidR="001B1BF8">
        <w:rPr>
          <w:rFonts w:ascii="Calibri" w:hAnsi="Calibri"/>
          <w:sz w:val="22"/>
        </w:rPr>
        <w:t xml:space="preserve"> maintaining compatibility.</w:t>
      </w:r>
    </w:p>
    <w:p w:rsidR="00E12D70" w:rsidRDefault="001B1BF8" w:rsidP="00C17447">
      <w:pPr>
        <w:spacing w:line="48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D14829">
        <w:rPr>
          <w:rFonts w:ascii="Calibri" w:hAnsi="Calibri"/>
          <w:sz w:val="22"/>
        </w:rPr>
        <w:t xml:space="preserve"> </w:t>
      </w:r>
      <w:r w:rsidR="006C7145">
        <w:rPr>
          <w:rFonts w:ascii="Calibri" w:hAnsi="Calibri"/>
          <w:sz w:val="22"/>
        </w:rPr>
        <w:t>John McDowell, in his essay “De Re Senses,” proposed the idea of an essentially de re thought. This</w:t>
      </w:r>
      <w:r w:rsidR="00351246">
        <w:rPr>
          <w:rFonts w:ascii="Calibri" w:hAnsi="Calibri"/>
          <w:sz w:val="22"/>
        </w:rPr>
        <w:t xml:space="preserve"> </w:t>
      </w:r>
      <w:r w:rsidR="00091FA5">
        <w:rPr>
          <w:rFonts w:ascii="Calibri" w:hAnsi="Calibri"/>
          <w:sz w:val="22"/>
        </w:rPr>
        <w:t>idea</w:t>
      </w:r>
      <w:r w:rsidR="006C7145">
        <w:rPr>
          <w:rFonts w:ascii="Calibri" w:hAnsi="Calibri"/>
          <w:sz w:val="22"/>
        </w:rPr>
        <w:t xml:space="preserve"> rests on the following two tenants: 1) that it is about something in particular, but not uniquely characterizing, and 2) that the sense does not exist if </w:t>
      </w:r>
      <w:r w:rsidR="00351246">
        <w:rPr>
          <w:rFonts w:ascii="Calibri" w:hAnsi="Calibri"/>
          <w:sz w:val="22"/>
        </w:rPr>
        <w:t xml:space="preserve">what it is about fails to exist. The child at the party and the J.L Aston-Martin cases are examples that </w:t>
      </w:r>
      <w:r w:rsidR="00091FA5">
        <w:rPr>
          <w:rFonts w:ascii="Calibri" w:hAnsi="Calibri"/>
          <w:sz w:val="22"/>
        </w:rPr>
        <w:t>employ</w:t>
      </w:r>
      <w:r w:rsidR="00351246">
        <w:rPr>
          <w:rFonts w:ascii="Calibri" w:hAnsi="Calibri"/>
          <w:sz w:val="22"/>
        </w:rPr>
        <w:t xml:space="preserve"> such de re senses.</w:t>
      </w:r>
      <w:r w:rsidR="00091FA5">
        <w:rPr>
          <w:rFonts w:ascii="Calibri" w:hAnsi="Calibri"/>
          <w:sz w:val="22"/>
        </w:rPr>
        <w:t xml:space="preserve"> Many find the existence of these entities that McDowell is proposing to be farfetched, </w:t>
      </w:r>
      <w:r w:rsidR="005B6449">
        <w:rPr>
          <w:rFonts w:ascii="Calibri" w:hAnsi="Calibri"/>
          <w:sz w:val="22"/>
        </w:rPr>
        <w:t>mostly</w:t>
      </w:r>
      <w:r w:rsidR="00091FA5">
        <w:rPr>
          <w:rFonts w:ascii="Calibri" w:hAnsi="Calibri"/>
          <w:sz w:val="22"/>
        </w:rPr>
        <w:t xml:space="preserve"> because </w:t>
      </w:r>
      <w:r w:rsidR="005B6449">
        <w:rPr>
          <w:rFonts w:ascii="Calibri" w:hAnsi="Calibri"/>
          <w:sz w:val="22"/>
        </w:rPr>
        <w:t>of</w:t>
      </w:r>
      <w:r w:rsidR="00091FA5">
        <w:rPr>
          <w:rFonts w:ascii="Calibri" w:hAnsi="Calibri"/>
          <w:sz w:val="22"/>
        </w:rPr>
        <w:t xml:space="preserve"> basic </w:t>
      </w:r>
      <w:proofErr w:type="spellStart"/>
      <w:r w:rsidR="00091FA5">
        <w:rPr>
          <w:rFonts w:ascii="Calibri" w:hAnsi="Calibri"/>
          <w:sz w:val="22"/>
        </w:rPr>
        <w:t>Fregean</w:t>
      </w:r>
      <w:proofErr w:type="spellEnd"/>
      <w:r w:rsidR="00091FA5">
        <w:rPr>
          <w:rFonts w:ascii="Calibri" w:hAnsi="Calibri"/>
          <w:sz w:val="22"/>
        </w:rPr>
        <w:t xml:space="preserve"> thought that in order to think about something in the world, one must be able to think about </w:t>
      </w:r>
      <w:r w:rsidR="005B6449">
        <w:rPr>
          <w:rFonts w:ascii="Calibri" w:hAnsi="Calibri"/>
          <w:sz w:val="22"/>
        </w:rPr>
        <w:t>properties</w:t>
      </w:r>
      <w:r w:rsidR="00091FA5">
        <w:rPr>
          <w:rFonts w:ascii="Calibri" w:hAnsi="Calibri"/>
          <w:sz w:val="22"/>
        </w:rPr>
        <w:t xml:space="preserve"> that point out that thing.</w:t>
      </w:r>
      <w:r w:rsidR="00E12D70">
        <w:rPr>
          <w:rFonts w:ascii="Calibri" w:hAnsi="Calibri"/>
          <w:sz w:val="22"/>
        </w:rPr>
        <w:t xml:space="preserve"> </w:t>
      </w:r>
      <w:r w:rsidR="00C17447">
        <w:rPr>
          <w:rFonts w:ascii="Calibri" w:hAnsi="Calibri"/>
          <w:sz w:val="22"/>
        </w:rPr>
        <w:t xml:space="preserve">But </w:t>
      </w:r>
      <w:r w:rsidR="00E12D70">
        <w:rPr>
          <w:rFonts w:ascii="Calibri" w:hAnsi="Calibri"/>
          <w:sz w:val="22"/>
        </w:rPr>
        <w:t xml:space="preserve">Burge criticizes </w:t>
      </w:r>
      <w:proofErr w:type="spellStart"/>
      <w:r w:rsidR="00E12D70">
        <w:rPr>
          <w:rFonts w:ascii="Calibri" w:hAnsi="Calibri"/>
          <w:sz w:val="22"/>
        </w:rPr>
        <w:t>Frege</w:t>
      </w:r>
      <w:proofErr w:type="spellEnd"/>
      <w:r w:rsidR="00E12D70">
        <w:rPr>
          <w:rFonts w:ascii="Calibri" w:hAnsi="Calibri"/>
          <w:sz w:val="22"/>
        </w:rPr>
        <w:t xml:space="preserve"> for this method and uses </w:t>
      </w:r>
      <w:proofErr w:type="spellStart"/>
      <w:r w:rsidR="00E12D70">
        <w:rPr>
          <w:rFonts w:ascii="Calibri" w:hAnsi="Calibri"/>
          <w:sz w:val="22"/>
        </w:rPr>
        <w:t>Donnellan</w:t>
      </w:r>
      <w:r w:rsidR="00CA3DC2">
        <w:rPr>
          <w:rFonts w:ascii="Calibri" w:hAnsi="Calibri"/>
          <w:sz w:val="22"/>
        </w:rPr>
        <w:t>’s</w:t>
      </w:r>
      <w:proofErr w:type="spellEnd"/>
      <w:r w:rsidR="00E12D70">
        <w:rPr>
          <w:rFonts w:ascii="Calibri" w:hAnsi="Calibri"/>
          <w:sz w:val="22"/>
        </w:rPr>
        <w:t xml:space="preserve"> cases to show that </w:t>
      </w:r>
      <w:proofErr w:type="spellStart"/>
      <w:r w:rsidR="00E12D70">
        <w:rPr>
          <w:rFonts w:ascii="Calibri" w:hAnsi="Calibri"/>
          <w:sz w:val="22"/>
        </w:rPr>
        <w:t>Frege’s</w:t>
      </w:r>
      <w:proofErr w:type="spellEnd"/>
      <w:r w:rsidR="00E12D70">
        <w:rPr>
          <w:rFonts w:ascii="Calibri" w:hAnsi="Calibri"/>
          <w:sz w:val="22"/>
        </w:rPr>
        <w:t xml:space="preserve"> view</w:t>
      </w:r>
      <w:r w:rsidR="005B6449">
        <w:rPr>
          <w:rFonts w:ascii="Calibri" w:hAnsi="Calibri"/>
          <w:sz w:val="22"/>
        </w:rPr>
        <w:t xml:space="preserve"> needs refinement if it is to account for such scenarios as the child at the party and J.L. Aston-Martin</w:t>
      </w:r>
      <w:r w:rsidR="00E12D70">
        <w:rPr>
          <w:rFonts w:ascii="Calibri" w:hAnsi="Calibri"/>
          <w:sz w:val="22"/>
        </w:rPr>
        <w:t xml:space="preserve">. </w:t>
      </w:r>
    </w:p>
    <w:p w:rsidR="00D43861" w:rsidRPr="00EA73C1" w:rsidRDefault="00E12D70" w:rsidP="00C17447">
      <w:pPr>
        <w:spacing w:line="48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 xml:space="preserve">If there were such a thing as de re senses, they would serve to strengthen </w:t>
      </w:r>
      <w:proofErr w:type="spellStart"/>
      <w:r>
        <w:rPr>
          <w:rFonts w:ascii="Calibri" w:hAnsi="Calibri"/>
          <w:sz w:val="22"/>
        </w:rPr>
        <w:t>Frege’s</w:t>
      </w:r>
      <w:proofErr w:type="spellEnd"/>
      <w:r>
        <w:rPr>
          <w:rFonts w:ascii="Calibri" w:hAnsi="Calibri"/>
          <w:sz w:val="22"/>
        </w:rPr>
        <w:t xml:space="preserve"> traditional view of intentionality. Since </w:t>
      </w:r>
      <w:proofErr w:type="spellStart"/>
      <w:r>
        <w:rPr>
          <w:rFonts w:ascii="Calibri" w:hAnsi="Calibri"/>
          <w:sz w:val="22"/>
        </w:rPr>
        <w:t>Donnellan</w:t>
      </w:r>
      <w:proofErr w:type="spellEnd"/>
      <w:r>
        <w:rPr>
          <w:rFonts w:ascii="Calibri" w:hAnsi="Calibri"/>
          <w:sz w:val="22"/>
        </w:rPr>
        <w:t xml:space="preserve"> has pointed out that reference does not always work by specification, de re senses would help </w:t>
      </w:r>
      <w:proofErr w:type="spellStart"/>
      <w:r>
        <w:rPr>
          <w:rFonts w:ascii="Calibri" w:hAnsi="Calibri"/>
          <w:sz w:val="22"/>
        </w:rPr>
        <w:t>Frege</w:t>
      </w:r>
      <w:proofErr w:type="spellEnd"/>
      <w:r>
        <w:rPr>
          <w:rFonts w:ascii="Calibri" w:hAnsi="Calibri"/>
          <w:sz w:val="22"/>
        </w:rPr>
        <w:t xml:space="preserve"> include </w:t>
      </w:r>
      <w:proofErr w:type="spellStart"/>
      <w:r>
        <w:rPr>
          <w:rFonts w:ascii="Calibri" w:hAnsi="Calibri"/>
          <w:sz w:val="22"/>
        </w:rPr>
        <w:t>Donnellan’s</w:t>
      </w:r>
      <w:proofErr w:type="spellEnd"/>
      <w:r>
        <w:rPr>
          <w:rFonts w:ascii="Calibri" w:hAnsi="Calibri"/>
          <w:sz w:val="22"/>
        </w:rPr>
        <w:t xml:space="preserve"> scenarios under his theory and ultimately defend it against future criticisms.</w:t>
      </w:r>
    </w:p>
    <w:sectPr w:rsidR="00D43861" w:rsidRPr="00EA73C1" w:rsidSect="00790C64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E88"/>
    <w:multiLevelType w:val="hybridMultilevel"/>
    <w:tmpl w:val="62DE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34701"/>
    <w:multiLevelType w:val="hybridMultilevel"/>
    <w:tmpl w:val="60E80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C6933"/>
    <w:multiLevelType w:val="hybridMultilevel"/>
    <w:tmpl w:val="524CA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B664A"/>
    <w:multiLevelType w:val="hybridMultilevel"/>
    <w:tmpl w:val="E102C9CE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C77410"/>
    <w:multiLevelType w:val="hybridMultilevel"/>
    <w:tmpl w:val="D9F8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55099"/>
    <w:multiLevelType w:val="hybridMultilevel"/>
    <w:tmpl w:val="653E5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36588"/>
    <w:multiLevelType w:val="hybridMultilevel"/>
    <w:tmpl w:val="BD4E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C1CC4"/>
    <w:multiLevelType w:val="hybridMultilevel"/>
    <w:tmpl w:val="70968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1428F"/>
    <w:multiLevelType w:val="hybridMultilevel"/>
    <w:tmpl w:val="69D82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A0F3F"/>
    <w:multiLevelType w:val="hybridMultilevel"/>
    <w:tmpl w:val="0CD6D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1E5E57"/>
    <w:multiLevelType w:val="hybridMultilevel"/>
    <w:tmpl w:val="D4623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A576F"/>
    <w:multiLevelType w:val="hybridMultilevel"/>
    <w:tmpl w:val="14A2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6669FA"/>
    <w:multiLevelType w:val="hybridMultilevel"/>
    <w:tmpl w:val="BF046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E06C53"/>
    <w:multiLevelType w:val="hybridMultilevel"/>
    <w:tmpl w:val="F1144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94CCA"/>
    <w:multiLevelType w:val="hybridMultilevel"/>
    <w:tmpl w:val="445C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14"/>
  </w:num>
  <w:num w:numId="5">
    <w:abstractNumId w:val="7"/>
  </w:num>
  <w:num w:numId="6">
    <w:abstractNumId w:val="8"/>
  </w:num>
  <w:num w:numId="7">
    <w:abstractNumId w:val="12"/>
  </w:num>
  <w:num w:numId="8">
    <w:abstractNumId w:val="2"/>
  </w:num>
  <w:num w:numId="9">
    <w:abstractNumId w:val="1"/>
  </w:num>
  <w:num w:numId="10">
    <w:abstractNumId w:val="3"/>
  </w:num>
  <w:num w:numId="11">
    <w:abstractNumId w:val="11"/>
  </w:num>
  <w:num w:numId="12">
    <w:abstractNumId w:val="5"/>
  </w:num>
  <w:num w:numId="13">
    <w:abstractNumId w:val="9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90C64"/>
    <w:rsid w:val="00012728"/>
    <w:rsid w:val="00012BE6"/>
    <w:rsid w:val="00061029"/>
    <w:rsid w:val="00091674"/>
    <w:rsid w:val="00091FA5"/>
    <w:rsid w:val="000A77BE"/>
    <w:rsid w:val="000D5935"/>
    <w:rsid w:val="00145A09"/>
    <w:rsid w:val="00174E11"/>
    <w:rsid w:val="001B1BF8"/>
    <w:rsid w:val="001F4503"/>
    <w:rsid w:val="001F7236"/>
    <w:rsid w:val="002557DD"/>
    <w:rsid w:val="002569CA"/>
    <w:rsid w:val="0026303D"/>
    <w:rsid w:val="002932D5"/>
    <w:rsid w:val="002B06F1"/>
    <w:rsid w:val="002D19B8"/>
    <w:rsid w:val="00305F95"/>
    <w:rsid w:val="003216CB"/>
    <w:rsid w:val="00346227"/>
    <w:rsid w:val="00351246"/>
    <w:rsid w:val="003C34DE"/>
    <w:rsid w:val="00430378"/>
    <w:rsid w:val="0047642A"/>
    <w:rsid w:val="004D7713"/>
    <w:rsid w:val="004E5948"/>
    <w:rsid w:val="005171F4"/>
    <w:rsid w:val="005224A6"/>
    <w:rsid w:val="00527534"/>
    <w:rsid w:val="005B6449"/>
    <w:rsid w:val="0064186E"/>
    <w:rsid w:val="00692DC9"/>
    <w:rsid w:val="006B72D5"/>
    <w:rsid w:val="006C1F33"/>
    <w:rsid w:val="006C7145"/>
    <w:rsid w:val="00790C64"/>
    <w:rsid w:val="0079332E"/>
    <w:rsid w:val="007D653F"/>
    <w:rsid w:val="00816F91"/>
    <w:rsid w:val="008336EC"/>
    <w:rsid w:val="008341BD"/>
    <w:rsid w:val="00894BA3"/>
    <w:rsid w:val="008C21BD"/>
    <w:rsid w:val="008D07F0"/>
    <w:rsid w:val="008E3E92"/>
    <w:rsid w:val="008E7AF0"/>
    <w:rsid w:val="009713D0"/>
    <w:rsid w:val="009C218E"/>
    <w:rsid w:val="009E184F"/>
    <w:rsid w:val="009F30D1"/>
    <w:rsid w:val="00A573C0"/>
    <w:rsid w:val="00A72291"/>
    <w:rsid w:val="00AE33BE"/>
    <w:rsid w:val="00B13449"/>
    <w:rsid w:val="00B44DE2"/>
    <w:rsid w:val="00BA13AD"/>
    <w:rsid w:val="00BB6175"/>
    <w:rsid w:val="00C17447"/>
    <w:rsid w:val="00C36DBF"/>
    <w:rsid w:val="00C618DA"/>
    <w:rsid w:val="00C77838"/>
    <w:rsid w:val="00CA3DC2"/>
    <w:rsid w:val="00CC3AA3"/>
    <w:rsid w:val="00CC4F79"/>
    <w:rsid w:val="00CD4E70"/>
    <w:rsid w:val="00D14829"/>
    <w:rsid w:val="00D31DAE"/>
    <w:rsid w:val="00D36432"/>
    <w:rsid w:val="00D402F6"/>
    <w:rsid w:val="00D43861"/>
    <w:rsid w:val="00D45F46"/>
    <w:rsid w:val="00D661B4"/>
    <w:rsid w:val="00D80C7B"/>
    <w:rsid w:val="00D822B9"/>
    <w:rsid w:val="00D83C7E"/>
    <w:rsid w:val="00DC2EF8"/>
    <w:rsid w:val="00DC5730"/>
    <w:rsid w:val="00DD77B8"/>
    <w:rsid w:val="00DF0821"/>
    <w:rsid w:val="00DF5A7F"/>
    <w:rsid w:val="00E12D70"/>
    <w:rsid w:val="00E15F06"/>
    <w:rsid w:val="00E31F5C"/>
    <w:rsid w:val="00E71E78"/>
    <w:rsid w:val="00E950E9"/>
    <w:rsid w:val="00E95805"/>
    <w:rsid w:val="00E97368"/>
    <w:rsid w:val="00EA73C1"/>
    <w:rsid w:val="00ED29EE"/>
    <w:rsid w:val="00F32005"/>
    <w:rsid w:val="00F870FB"/>
  </w:rsids>
  <m:mathPr>
    <m:mathFont m:val="!Y2KBU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A075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43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1041</Words>
  <Characters>5314</Characters>
  <Application>Microsoft Macintosh Word</Application>
  <DocSecurity>0</DocSecurity>
  <Lines>87</Lines>
  <Paragraphs>12</Paragraphs>
  <ScaleCrop>false</ScaleCrop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Clay</dc:creator>
  <cp:keywords/>
  <cp:lastModifiedBy>Rebecca Clay</cp:lastModifiedBy>
  <cp:revision>34</cp:revision>
  <cp:lastPrinted>2011-04-21T07:50:00Z</cp:lastPrinted>
  <dcterms:created xsi:type="dcterms:W3CDTF">2011-04-21T08:04:00Z</dcterms:created>
  <dcterms:modified xsi:type="dcterms:W3CDTF">2011-04-23T19:12:00Z</dcterms:modified>
</cp:coreProperties>
</file>